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CE" w:rsidRDefault="00CF65AC" w:rsidP="00CF65AC">
      <w:pPr>
        <w:spacing w:before="120" w:after="120"/>
        <w:jc w:val="right"/>
        <w:rPr>
          <w:rFonts w:asciiTheme="majorHAnsi" w:hAnsiTheme="majorHAnsi"/>
          <w:b/>
          <w:sz w:val="28"/>
          <w:szCs w:val="28"/>
        </w:rPr>
      </w:pPr>
      <w:r w:rsidRPr="001E041E">
        <w:rPr>
          <w:noProof/>
          <w:lang w:val="en-US" w:eastAsia="en-US"/>
        </w:rPr>
        <w:drawing>
          <wp:anchor distT="0" distB="0" distL="114300" distR="114300" simplePos="0" relativeHeight="251659264" behindDoc="0" locked="0" layoutInCell="1" allowOverlap="1" wp14:anchorId="20BE1DA5" wp14:editId="3883F79E">
            <wp:simplePos x="0" y="0"/>
            <wp:positionH relativeFrom="column">
              <wp:posOffset>4447457</wp:posOffset>
            </wp:positionH>
            <wp:positionV relativeFrom="paragraph">
              <wp:posOffset>-195165</wp:posOffset>
            </wp:positionV>
            <wp:extent cx="1216660" cy="9715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5CE" w:rsidRDefault="003055CE" w:rsidP="003055CE">
      <w:pPr>
        <w:spacing w:before="120" w:after="120"/>
        <w:jc w:val="center"/>
        <w:rPr>
          <w:rFonts w:asciiTheme="majorHAnsi" w:hAnsiTheme="majorHAnsi"/>
          <w:b/>
          <w:sz w:val="28"/>
          <w:szCs w:val="28"/>
        </w:rPr>
      </w:pPr>
    </w:p>
    <w:p w:rsidR="003055CE" w:rsidRDefault="003055CE" w:rsidP="003055CE">
      <w:pPr>
        <w:spacing w:before="120" w:after="120"/>
        <w:jc w:val="center"/>
        <w:rPr>
          <w:rFonts w:asciiTheme="majorHAnsi" w:hAnsiTheme="majorHAnsi"/>
          <w:b/>
          <w:sz w:val="28"/>
          <w:szCs w:val="28"/>
        </w:rPr>
      </w:pPr>
    </w:p>
    <w:p w:rsidR="003055CE" w:rsidRDefault="003055CE" w:rsidP="003055CE">
      <w:pPr>
        <w:spacing w:before="120" w:after="120"/>
        <w:jc w:val="center"/>
        <w:rPr>
          <w:rFonts w:asciiTheme="majorHAnsi" w:hAnsiTheme="majorHAnsi"/>
          <w:b/>
          <w:sz w:val="28"/>
          <w:szCs w:val="28"/>
        </w:rPr>
      </w:pPr>
    </w:p>
    <w:tbl>
      <w:tblPr>
        <w:tblStyle w:val="LightShading"/>
        <w:tblW w:w="0" w:type="auto"/>
        <w:tblLook w:val="0600" w:firstRow="0" w:lastRow="0" w:firstColumn="0" w:lastColumn="0" w:noHBand="1" w:noVBand="1"/>
      </w:tblPr>
      <w:tblGrid>
        <w:gridCol w:w="9242"/>
      </w:tblGrid>
      <w:tr w:rsidR="003055CE" w:rsidRPr="00580452" w:rsidTr="005B3BC0">
        <w:tc>
          <w:tcPr>
            <w:tcW w:w="9242" w:type="dxa"/>
          </w:tcPr>
          <w:p w:rsidR="003055CE" w:rsidRPr="00580452" w:rsidRDefault="003055CE" w:rsidP="005B3BC0">
            <w:pPr>
              <w:jc w:val="center"/>
              <w:rPr>
                <w:rFonts w:ascii="Arial" w:hAnsi="Arial" w:cs="Arial"/>
                <w:b/>
                <w:sz w:val="28"/>
                <w:szCs w:val="28"/>
                <w:lang w:val="en-US"/>
              </w:rPr>
            </w:pPr>
            <w:r w:rsidRPr="00580452">
              <w:rPr>
                <w:rFonts w:ascii="Arial" w:hAnsi="Arial" w:cs="Arial"/>
                <w:b/>
                <w:sz w:val="28"/>
                <w:szCs w:val="28"/>
                <w:lang w:val="en-US"/>
              </w:rPr>
              <w:t>Council of Europe Platform on Ethics, Transparency and Integrity in Education (ETINED)</w:t>
            </w:r>
          </w:p>
          <w:p w:rsidR="003055CE" w:rsidRPr="00580452" w:rsidRDefault="003055CE" w:rsidP="005B3BC0">
            <w:pPr>
              <w:jc w:val="center"/>
              <w:rPr>
                <w:rFonts w:ascii="Arial" w:hAnsi="Arial" w:cs="Arial"/>
                <w:b/>
                <w:sz w:val="28"/>
                <w:szCs w:val="28"/>
                <w:lang w:val="en-US"/>
              </w:rPr>
            </w:pPr>
          </w:p>
        </w:tc>
      </w:tr>
      <w:tr w:rsidR="003055CE" w:rsidRPr="00353D6E" w:rsidTr="005B3BC0">
        <w:tc>
          <w:tcPr>
            <w:tcW w:w="9242" w:type="dxa"/>
          </w:tcPr>
          <w:p w:rsidR="003055CE" w:rsidRPr="00353D6E" w:rsidRDefault="003055CE" w:rsidP="005B3BC0">
            <w:pPr>
              <w:jc w:val="center"/>
              <w:rPr>
                <w:rFonts w:ascii="Arial" w:hAnsi="Arial" w:cs="Arial"/>
                <w:b/>
                <w:sz w:val="28"/>
                <w:szCs w:val="28"/>
              </w:rPr>
            </w:pPr>
            <w:r>
              <w:rPr>
                <w:rFonts w:ascii="Arial" w:hAnsi="Arial" w:cs="Arial"/>
                <w:b/>
                <w:sz w:val="28"/>
                <w:szCs w:val="28"/>
              </w:rPr>
              <w:t>Symposium</w:t>
            </w:r>
          </w:p>
        </w:tc>
      </w:tr>
      <w:tr w:rsidR="003055CE" w:rsidRPr="00353D6E" w:rsidTr="005B3BC0">
        <w:tc>
          <w:tcPr>
            <w:tcW w:w="9242" w:type="dxa"/>
          </w:tcPr>
          <w:p w:rsidR="003055CE" w:rsidRDefault="003055CE" w:rsidP="005B3BC0">
            <w:pPr>
              <w:jc w:val="center"/>
              <w:rPr>
                <w:rFonts w:ascii="Arial" w:hAnsi="Arial" w:cs="Arial"/>
                <w:b/>
                <w:sz w:val="28"/>
                <w:szCs w:val="28"/>
              </w:rPr>
            </w:pPr>
          </w:p>
        </w:tc>
      </w:tr>
      <w:tr w:rsidR="003055CE" w:rsidRPr="00353D6E" w:rsidTr="005B3BC0">
        <w:tc>
          <w:tcPr>
            <w:tcW w:w="9242" w:type="dxa"/>
          </w:tcPr>
          <w:p w:rsidR="003055CE" w:rsidRPr="00353D6E" w:rsidRDefault="003055CE" w:rsidP="003055CE">
            <w:pPr>
              <w:tabs>
                <w:tab w:val="left" w:pos="1200"/>
              </w:tabs>
              <w:jc w:val="center"/>
              <w:rPr>
                <w:rFonts w:ascii="Arial" w:hAnsi="Arial" w:cs="Arial"/>
                <w:b/>
              </w:rPr>
            </w:pPr>
            <w:r w:rsidRPr="00353D6E">
              <w:rPr>
                <w:rFonts w:ascii="Arial" w:hAnsi="Arial" w:cs="Arial"/>
                <w:b/>
              </w:rPr>
              <w:t>Council of Europe</w:t>
            </w:r>
          </w:p>
        </w:tc>
      </w:tr>
      <w:tr w:rsidR="003055CE" w:rsidRPr="00353D6E" w:rsidTr="005B3BC0">
        <w:tc>
          <w:tcPr>
            <w:tcW w:w="9242" w:type="dxa"/>
          </w:tcPr>
          <w:p w:rsidR="003055CE" w:rsidRPr="00353D6E" w:rsidRDefault="003055CE" w:rsidP="005B3BC0">
            <w:pPr>
              <w:tabs>
                <w:tab w:val="left" w:pos="1134"/>
              </w:tabs>
              <w:jc w:val="center"/>
              <w:rPr>
                <w:rFonts w:ascii="Arial" w:hAnsi="Arial" w:cs="Arial"/>
                <w:b/>
              </w:rPr>
            </w:pPr>
            <w:r>
              <w:rPr>
                <w:rFonts w:ascii="Arial" w:hAnsi="Arial" w:cs="Arial"/>
                <w:b/>
              </w:rPr>
              <w:t xml:space="preserve">29-30 </w:t>
            </w:r>
            <w:proofErr w:type="spellStart"/>
            <w:r>
              <w:rPr>
                <w:rFonts w:ascii="Arial" w:hAnsi="Arial" w:cs="Arial"/>
                <w:b/>
              </w:rPr>
              <w:t>November</w:t>
            </w:r>
            <w:proofErr w:type="spellEnd"/>
            <w:r>
              <w:rPr>
                <w:rFonts w:ascii="Arial" w:hAnsi="Arial" w:cs="Arial"/>
                <w:b/>
              </w:rPr>
              <w:t xml:space="preserve"> 2018</w:t>
            </w:r>
            <w:r w:rsidRPr="00353D6E">
              <w:rPr>
                <w:rFonts w:ascii="Arial" w:hAnsi="Arial" w:cs="Arial"/>
                <w:b/>
              </w:rPr>
              <w:t xml:space="preserve"> </w:t>
            </w:r>
          </w:p>
        </w:tc>
      </w:tr>
      <w:tr w:rsidR="003055CE" w:rsidRPr="00353D6E" w:rsidTr="005B3BC0">
        <w:tc>
          <w:tcPr>
            <w:tcW w:w="9242" w:type="dxa"/>
          </w:tcPr>
          <w:p w:rsidR="003055CE" w:rsidRPr="00353D6E" w:rsidRDefault="003055CE" w:rsidP="005B3BC0">
            <w:pPr>
              <w:jc w:val="center"/>
              <w:rPr>
                <w:b/>
              </w:rPr>
            </w:pPr>
          </w:p>
        </w:tc>
      </w:tr>
    </w:tbl>
    <w:p w:rsidR="003055CE" w:rsidRPr="00576B6D" w:rsidRDefault="003055CE" w:rsidP="003055CE">
      <w:pPr>
        <w:jc w:val="center"/>
        <w:rPr>
          <w:rFonts w:ascii="Arial" w:hAnsi="Arial" w:cs="Arial"/>
          <w:b/>
          <w:sz w:val="28"/>
          <w:szCs w:val="28"/>
        </w:rPr>
      </w:pPr>
    </w:p>
    <w:p w:rsidR="003055CE" w:rsidRDefault="003055CE" w:rsidP="003055CE">
      <w:pPr>
        <w:spacing w:before="120" w:after="120"/>
        <w:jc w:val="center"/>
        <w:rPr>
          <w:rFonts w:asciiTheme="majorHAnsi" w:hAnsiTheme="majorHAnsi"/>
          <w:b/>
          <w:sz w:val="28"/>
          <w:szCs w:val="28"/>
        </w:rPr>
      </w:pPr>
    </w:p>
    <w:p w:rsidR="003055CE" w:rsidRPr="00DB26B5" w:rsidRDefault="003055CE" w:rsidP="003055CE">
      <w:pPr>
        <w:jc w:val="center"/>
        <w:rPr>
          <w:rFonts w:ascii="Arial" w:hAnsi="Arial" w:cs="Arial"/>
          <w:b/>
          <w:i/>
          <w:sz w:val="28"/>
          <w:szCs w:val="28"/>
          <w:lang w:val="en-US"/>
        </w:rPr>
      </w:pPr>
      <w:r w:rsidRPr="00DB26B5">
        <w:rPr>
          <w:rFonts w:ascii="Arial" w:hAnsi="Arial" w:cs="Arial"/>
          <w:b/>
          <w:i/>
          <w:sz w:val="28"/>
          <w:szCs w:val="28"/>
          <w:lang w:val="en-US"/>
        </w:rPr>
        <w:t xml:space="preserve">Countering Education Fraud </w:t>
      </w:r>
    </w:p>
    <w:p w:rsidR="00F00B2E" w:rsidRDefault="00F00B2E" w:rsidP="003055CE">
      <w:pPr>
        <w:spacing w:before="120" w:after="120"/>
        <w:jc w:val="center"/>
        <w:rPr>
          <w:rFonts w:ascii="Arial" w:hAnsi="Arial" w:cs="Arial"/>
          <w:b/>
          <w:sz w:val="28"/>
          <w:szCs w:val="28"/>
          <w:lang w:val="en-GB"/>
        </w:rPr>
      </w:pPr>
    </w:p>
    <w:p w:rsidR="003055CE" w:rsidRPr="003055CE" w:rsidRDefault="003055CE" w:rsidP="003055CE">
      <w:pPr>
        <w:spacing w:before="120" w:after="120"/>
        <w:jc w:val="center"/>
        <w:rPr>
          <w:rFonts w:ascii="Arial" w:hAnsi="Arial" w:cs="Arial"/>
          <w:b/>
          <w:sz w:val="28"/>
          <w:szCs w:val="28"/>
          <w:lang w:val="en-GB"/>
        </w:rPr>
      </w:pPr>
      <w:r w:rsidRPr="003055CE">
        <w:rPr>
          <w:rFonts w:ascii="Arial" w:hAnsi="Arial" w:cs="Arial"/>
          <w:b/>
          <w:sz w:val="28"/>
          <w:szCs w:val="28"/>
          <w:lang w:val="en-GB"/>
        </w:rPr>
        <w:t xml:space="preserve">Preparatory note </w:t>
      </w:r>
      <w:r w:rsidR="00F00B2E">
        <w:rPr>
          <w:rFonts w:ascii="Arial" w:hAnsi="Arial" w:cs="Arial"/>
          <w:b/>
          <w:sz w:val="28"/>
          <w:szCs w:val="28"/>
          <w:lang w:val="en-GB"/>
        </w:rPr>
        <w:t>for the Symposium</w:t>
      </w:r>
    </w:p>
    <w:p w:rsidR="003055CE" w:rsidRDefault="003055CE">
      <w:pPr>
        <w:spacing w:after="200" w:line="276" w:lineRule="auto"/>
        <w:rPr>
          <w:rFonts w:ascii="Arial" w:hAnsi="Arial" w:cs="Arial"/>
          <w:b/>
          <w:sz w:val="22"/>
          <w:szCs w:val="22"/>
          <w:lang w:val="en-GB"/>
        </w:rPr>
      </w:pPr>
      <w:r>
        <w:rPr>
          <w:rFonts w:ascii="Arial" w:hAnsi="Arial" w:cs="Arial"/>
          <w:b/>
          <w:sz w:val="22"/>
          <w:szCs w:val="22"/>
          <w:lang w:val="en-GB"/>
        </w:rPr>
        <w:br w:type="page"/>
      </w:r>
    </w:p>
    <w:p w:rsidR="003055CE" w:rsidRPr="00300078" w:rsidRDefault="003055CE" w:rsidP="003055CE">
      <w:pPr>
        <w:spacing w:before="120" w:after="120"/>
        <w:jc w:val="both"/>
        <w:rPr>
          <w:rFonts w:ascii="Arial" w:hAnsi="Arial" w:cs="Arial"/>
          <w:b/>
          <w:sz w:val="22"/>
          <w:szCs w:val="22"/>
          <w:lang w:val="en-GB"/>
        </w:rPr>
      </w:pPr>
      <w:r w:rsidRPr="00300078">
        <w:rPr>
          <w:rFonts w:ascii="Arial" w:hAnsi="Arial" w:cs="Arial"/>
          <w:b/>
          <w:sz w:val="22"/>
          <w:szCs w:val="22"/>
          <w:lang w:val="en-GB"/>
        </w:rPr>
        <w:lastRenderedPageBreak/>
        <w:t xml:space="preserve">Introduction </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Fraud in education is not a new phenomenon. Historical chronicles testi</w:t>
      </w:r>
      <w:r w:rsidR="00CF3F48">
        <w:rPr>
          <w:rFonts w:ascii="Arial" w:hAnsi="Arial" w:cs="Arial"/>
          <w:sz w:val="22"/>
          <w:szCs w:val="22"/>
          <w:lang w:val="en-GB"/>
        </w:rPr>
        <w:t>fy to the fact</w:t>
      </w:r>
      <w:r w:rsidRPr="00300078">
        <w:rPr>
          <w:rFonts w:ascii="Arial" w:hAnsi="Arial" w:cs="Arial"/>
          <w:sz w:val="22"/>
          <w:szCs w:val="22"/>
          <w:lang w:val="en-GB"/>
        </w:rPr>
        <w:t xml:space="preserve"> that as soon the first universities was born in Europe in the Middle Ages also corruption, “selling” of qualifications, falsification of documents flourished accordingly.</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 xml:space="preserve">But nowadays this old phenomenon poses new threats: the widespread use of technology offers the possibility to easily forge authentic documents and to create at low if no cost sophisticated fake qualifications that looks almost like the authentic ones. The internationalisation of Higher Education led also to the spreading of Diploma Mills, taking roots especially where there is no the legal value of qualifications, and where the official name of universities and of degrees is not protected by the national law. The emergence of cross-border and transnational education (TNE) had an impact on the 'accreditation' of dubious educational institutions, leading to awarding degrees without quality assurance assessment and without any academic value. </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The goal of this preparatory note is to:</w:t>
      </w:r>
    </w:p>
    <w:p w:rsidR="003055CE" w:rsidRPr="00300078" w:rsidRDefault="003055CE" w:rsidP="003055CE">
      <w:pPr>
        <w:pStyle w:val="ListParagraph"/>
        <w:numPr>
          <w:ilvl w:val="0"/>
          <w:numId w:val="1"/>
        </w:numPr>
        <w:spacing w:before="120" w:after="120"/>
        <w:jc w:val="both"/>
        <w:rPr>
          <w:rFonts w:ascii="Arial" w:hAnsi="Arial" w:cs="Arial"/>
          <w:lang w:val="en-GB"/>
        </w:rPr>
      </w:pPr>
      <w:r w:rsidRPr="00300078">
        <w:rPr>
          <w:rFonts w:ascii="Arial" w:hAnsi="Arial" w:cs="Arial"/>
          <w:lang w:val="en-GB"/>
        </w:rPr>
        <w:t>highlight some of the topics that the symposium will deal with;</w:t>
      </w:r>
    </w:p>
    <w:p w:rsidR="003055CE" w:rsidRPr="00300078" w:rsidRDefault="003055CE" w:rsidP="003055CE">
      <w:pPr>
        <w:pStyle w:val="ListParagraph"/>
        <w:numPr>
          <w:ilvl w:val="0"/>
          <w:numId w:val="1"/>
        </w:numPr>
        <w:spacing w:before="120" w:after="120"/>
        <w:jc w:val="both"/>
        <w:rPr>
          <w:rFonts w:ascii="Arial" w:hAnsi="Arial" w:cs="Arial"/>
          <w:lang w:val="en-GB"/>
        </w:rPr>
      </w:pPr>
      <w:r w:rsidRPr="00300078">
        <w:rPr>
          <w:rFonts w:ascii="Arial" w:hAnsi="Arial" w:cs="Arial"/>
          <w:lang w:val="en-GB"/>
        </w:rPr>
        <w:t>raise awareness about different aspects of the phenomenon;</w:t>
      </w:r>
    </w:p>
    <w:p w:rsidR="003055CE" w:rsidRPr="00300078" w:rsidRDefault="003055CE" w:rsidP="003055CE">
      <w:pPr>
        <w:pStyle w:val="ListParagraph"/>
        <w:numPr>
          <w:ilvl w:val="0"/>
          <w:numId w:val="1"/>
        </w:numPr>
        <w:jc w:val="both"/>
        <w:rPr>
          <w:rFonts w:ascii="Arial" w:hAnsi="Arial" w:cs="Arial"/>
          <w:lang w:val="en-GB"/>
        </w:rPr>
      </w:pPr>
      <w:proofErr w:type="gramStart"/>
      <w:r w:rsidRPr="00300078">
        <w:rPr>
          <w:rFonts w:ascii="Arial" w:hAnsi="Arial" w:cs="Arial"/>
          <w:lang w:val="en-GB"/>
        </w:rPr>
        <w:t>give</w:t>
      </w:r>
      <w:proofErr w:type="gramEnd"/>
      <w:r w:rsidRPr="00300078">
        <w:rPr>
          <w:rFonts w:ascii="Arial" w:hAnsi="Arial" w:cs="Arial"/>
          <w:lang w:val="en-GB"/>
        </w:rPr>
        <w:t xml:space="preserve"> food for thought to participants regarding the experiences, the good practices and the challenges that they have in their national systems. Sharing of national and international experiences is an important goal of the symposium.</w:t>
      </w:r>
    </w:p>
    <w:p w:rsidR="003055CE" w:rsidRPr="00300078" w:rsidRDefault="003055CE" w:rsidP="003055CE">
      <w:pPr>
        <w:jc w:val="both"/>
        <w:rPr>
          <w:rFonts w:ascii="Arial" w:hAnsi="Arial" w:cs="Arial"/>
          <w:b/>
          <w:sz w:val="22"/>
          <w:szCs w:val="22"/>
          <w:lang w:val="en-GB"/>
        </w:rPr>
      </w:pPr>
    </w:p>
    <w:p w:rsidR="003055CE" w:rsidRPr="00300078" w:rsidRDefault="003055CE" w:rsidP="003055CE">
      <w:pPr>
        <w:spacing w:before="120" w:after="120"/>
        <w:jc w:val="both"/>
        <w:rPr>
          <w:rFonts w:ascii="Arial" w:hAnsi="Arial" w:cs="Arial"/>
          <w:b/>
          <w:sz w:val="22"/>
          <w:szCs w:val="22"/>
          <w:lang w:val="en-GB"/>
        </w:rPr>
      </w:pPr>
      <w:r w:rsidRPr="00300078">
        <w:rPr>
          <w:rFonts w:ascii="Arial" w:hAnsi="Arial" w:cs="Arial"/>
          <w:b/>
          <w:sz w:val="22"/>
          <w:szCs w:val="22"/>
          <w:lang w:val="en-GB"/>
        </w:rPr>
        <w:t>Awareness of the phenomenon</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There are different typologies of education fraud: fraudulent final diplomas, transcripts, letter of recommendation, plagiarism, contract cheating, diploma mills/fake institutions, etc.</w:t>
      </w:r>
    </w:p>
    <w:p w:rsidR="003055CE" w:rsidRPr="00300078" w:rsidRDefault="003055CE" w:rsidP="003055CE">
      <w:pPr>
        <w:spacing w:before="120" w:after="120"/>
        <w:jc w:val="both"/>
        <w:rPr>
          <w:rFonts w:ascii="Arial" w:hAnsi="Arial" w:cs="Arial"/>
          <w:sz w:val="22"/>
          <w:szCs w:val="22"/>
          <w:u w:val="single"/>
          <w:lang w:val="en-GB"/>
        </w:rPr>
      </w:pPr>
      <w:r w:rsidRPr="00300078">
        <w:rPr>
          <w:rFonts w:ascii="Arial" w:hAnsi="Arial" w:cs="Arial"/>
          <w:sz w:val="22"/>
          <w:szCs w:val="22"/>
          <w:u w:val="single"/>
          <w:lang w:val="en-GB"/>
        </w:rPr>
        <w:t xml:space="preserve">Dimension of the phenomenon </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One challenge in tackling document fraud and fraud in education more in general is the absence of official statistics. If participants have official data are invited to share them.</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u w:val="single"/>
          <w:lang w:val="en-GB"/>
        </w:rPr>
        <w:t>Diversity of Educational Mills</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There are different example</w:t>
      </w:r>
      <w:r w:rsidR="00CF3F48">
        <w:rPr>
          <w:rFonts w:ascii="Arial" w:hAnsi="Arial" w:cs="Arial"/>
          <w:sz w:val="22"/>
          <w:szCs w:val="22"/>
          <w:lang w:val="en-GB"/>
        </w:rPr>
        <w:t>s</w:t>
      </w:r>
      <w:r w:rsidRPr="00300078">
        <w:rPr>
          <w:rFonts w:ascii="Arial" w:hAnsi="Arial" w:cs="Arial"/>
          <w:sz w:val="22"/>
          <w:szCs w:val="22"/>
          <w:lang w:val="en-GB"/>
        </w:rPr>
        <w:t xml:space="preserve"> of “Educational Mills”:</w:t>
      </w:r>
    </w:p>
    <w:p w:rsidR="003055CE" w:rsidRPr="00300078" w:rsidRDefault="003055CE" w:rsidP="003055CE">
      <w:pPr>
        <w:pStyle w:val="ListParagraph"/>
        <w:numPr>
          <w:ilvl w:val="0"/>
          <w:numId w:val="2"/>
        </w:numPr>
        <w:spacing w:before="120" w:after="120"/>
        <w:jc w:val="both"/>
        <w:rPr>
          <w:rFonts w:ascii="Arial" w:hAnsi="Arial" w:cs="Arial"/>
          <w:lang w:val="en-GB"/>
        </w:rPr>
      </w:pPr>
      <w:r w:rsidRPr="00300078">
        <w:rPr>
          <w:rFonts w:ascii="Arial" w:hAnsi="Arial" w:cs="Arial"/>
          <w:b/>
          <w:lang w:val="en-GB"/>
        </w:rPr>
        <w:t>Diploma Mill</w:t>
      </w:r>
      <w:r w:rsidRPr="00300078">
        <w:rPr>
          <w:rFonts w:ascii="Arial" w:hAnsi="Arial" w:cs="Arial"/>
          <w:lang w:val="en-GB"/>
        </w:rPr>
        <w:t>: a private insti</w:t>
      </w:r>
      <w:r w:rsidR="00CF3F48">
        <w:rPr>
          <w:rFonts w:ascii="Arial" w:hAnsi="Arial" w:cs="Arial"/>
          <w:lang w:val="en-GB"/>
        </w:rPr>
        <w:t>tution, posing as an education</w:t>
      </w:r>
      <w:r w:rsidRPr="00300078">
        <w:rPr>
          <w:rFonts w:ascii="Arial" w:hAnsi="Arial" w:cs="Arial"/>
          <w:lang w:val="en-GB"/>
        </w:rPr>
        <w:t xml:space="preserve"> institution, which is neither recognised by national competent authorities nor duly accredited, and that awards fraudulent or useless qualifications.</w:t>
      </w:r>
    </w:p>
    <w:p w:rsidR="003055CE" w:rsidRPr="00300078" w:rsidRDefault="003055CE" w:rsidP="003055CE">
      <w:pPr>
        <w:pStyle w:val="ListParagraph"/>
        <w:numPr>
          <w:ilvl w:val="0"/>
          <w:numId w:val="2"/>
        </w:numPr>
        <w:spacing w:before="120" w:after="120"/>
        <w:jc w:val="both"/>
        <w:rPr>
          <w:rFonts w:ascii="Arial" w:hAnsi="Arial" w:cs="Arial"/>
          <w:lang w:val="en-GB"/>
        </w:rPr>
      </w:pPr>
      <w:r w:rsidRPr="00300078">
        <w:rPr>
          <w:rFonts w:ascii="Arial" w:hAnsi="Arial" w:cs="Arial"/>
          <w:b/>
          <w:lang w:val="en-GB"/>
        </w:rPr>
        <w:t>Accreditation Mill</w:t>
      </w:r>
      <w:r w:rsidRPr="00300078">
        <w:rPr>
          <w:rFonts w:ascii="Arial" w:hAnsi="Arial" w:cs="Arial"/>
          <w:lang w:val="en-GB"/>
        </w:rPr>
        <w:t>: Accreditation mill refers to a non-recognised, usually non-existent accreditation organization that claims to provide accreditation without having any authorisation to do so.</w:t>
      </w:r>
    </w:p>
    <w:p w:rsidR="003055CE" w:rsidRPr="00300078" w:rsidRDefault="003055CE" w:rsidP="003055CE">
      <w:pPr>
        <w:pStyle w:val="ListParagraph"/>
        <w:numPr>
          <w:ilvl w:val="0"/>
          <w:numId w:val="2"/>
        </w:numPr>
        <w:spacing w:before="120" w:after="120"/>
        <w:jc w:val="both"/>
        <w:rPr>
          <w:rFonts w:ascii="Arial" w:hAnsi="Arial" w:cs="Arial"/>
          <w:lang w:val="en-GB"/>
        </w:rPr>
      </w:pPr>
      <w:r w:rsidRPr="00300078">
        <w:rPr>
          <w:rFonts w:ascii="Arial" w:hAnsi="Arial" w:cs="Arial"/>
          <w:b/>
          <w:lang w:val="en-GB"/>
        </w:rPr>
        <w:t>Visa Mill</w:t>
      </w:r>
      <w:r w:rsidRPr="00300078">
        <w:rPr>
          <w:rFonts w:ascii="Arial" w:hAnsi="Arial" w:cs="Arial"/>
          <w:lang w:val="en-GB"/>
        </w:rPr>
        <w:t>: private institutions that act as colleges and universities in order to circumvent visa laws and for money offer foreign nationals student visas that allow them stay and work in a country.</w:t>
      </w:r>
    </w:p>
    <w:p w:rsidR="003055CE" w:rsidRPr="00300078" w:rsidRDefault="003055CE" w:rsidP="003055CE">
      <w:pPr>
        <w:pStyle w:val="ListParagraph"/>
        <w:spacing w:before="120" w:after="120"/>
        <w:jc w:val="both"/>
        <w:rPr>
          <w:rFonts w:ascii="Arial" w:hAnsi="Arial" w:cs="Arial"/>
          <w:lang w:val="en-GB"/>
        </w:rPr>
      </w:pPr>
    </w:p>
    <w:p w:rsidR="003055CE" w:rsidRPr="00300078" w:rsidRDefault="003055CE" w:rsidP="003055CE">
      <w:pPr>
        <w:spacing w:before="120" w:after="120"/>
        <w:jc w:val="both"/>
        <w:rPr>
          <w:rFonts w:ascii="Arial" w:hAnsi="Arial" w:cs="Arial"/>
          <w:b/>
          <w:sz w:val="22"/>
          <w:szCs w:val="22"/>
          <w:lang w:val="en-GB"/>
        </w:rPr>
      </w:pPr>
      <w:r w:rsidRPr="00300078">
        <w:rPr>
          <w:rFonts w:ascii="Arial" w:hAnsi="Arial" w:cs="Arial"/>
          <w:b/>
          <w:sz w:val="22"/>
          <w:szCs w:val="22"/>
          <w:lang w:val="en-GB"/>
        </w:rPr>
        <w:t xml:space="preserve">Legislation on Education Fraud </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Legislation is a powerful tool to fight the phenomenon. Some examples are:</w:t>
      </w:r>
    </w:p>
    <w:p w:rsidR="003055CE" w:rsidRPr="00300078" w:rsidRDefault="003055CE" w:rsidP="003055CE">
      <w:pPr>
        <w:pStyle w:val="ListParagraph"/>
        <w:numPr>
          <w:ilvl w:val="0"/>
          <w:numId w:val="2"/>
        </w:numPr>
        <w:spacing w:before="120" w:after="120"/>
        <w:jc w:val="both"/>
        <w:rPr>
          <w:rFonts w:ascii="Arial" w:hAnsi="Arial" w:cs="Arial"/>
          <w:lang w:val="en-GB"/>
        </w:rPr>
      </w:pPr>
      <w:r w:rsidRPr="00300078">
        <w:rPr>
          <w:rFonts w:ascii="Arial" w:hAnsi="Arial" w:cs="Arial"/>
          <w:b/>
          <w:lang w:val="en-GB"/>
        </w:rPr>
        <w:t>regulation on the use of the terms</w:t>
      </w:r>
      <w:r w:rsidRPr="00300078">
        <w:rPr>
          <w:rFonts w:ascii="Arial" w:hAnsi="Arial" w:cs="Arial"/>
          <w:lang w:val="en-GB"/>
        </w:rPr>
        <w:t xml:space="preserve"> (or its equivalent) in official languages and official translation: university, college, school, institute, academy, and penalties for inappropriate legal use of these terms;</w:t>
      </w:r>
    </w:p>
    <w:p w:rsidR="003055CE" w:rsidRPr="00300078" w:rsidRDefault="003055CE" w:rsidP="003055CE">
      <w:pPr>
        <w:pStyle w:val="ListParagraph"/>
        <w:numPr>
          <w:ilvl w:val="0"/>
          <w:numId w:val="2"/>
        </w:numPr>
        <w:spacing w:before="120" w:after="120"/>
        <w:jc w:val="both"/>
        <w:rPr>
          <w:rFonts w:ascii="Arial" w:hAnsi="Arial" w:cs="Arial"/>
          <w:lang w:val="en-GB"/>
        </w:rPr>
      </w:pPr>
      <w:proofErr w:type="gramStart"/>
      <w:r w:rsidRPr="00300078">
        <w:rPr>
          <w:rFonts w:ascii="Arial" w:hAnsi="Arial" w:cs="Arial"/>
          <w:lang w:val="en-GB"/>
        </w:rPr>
        <w:t>the</w:t>
      </w:r>
      <w:proofErr w:type="gramEnd"/>
      <w:r w:rsidRPr="00300078">
        <w:rPr>
          <w:rFonts w:ascii="Arial" w:hAnsi="Arial" w:cs="Arial"/>
          <w:lang w:val="en-GB"/>
        </w:rPr>
        <w:t xml:space="preserve"> </w:t>
      </w:r>
      <w:r w:rsidRPr="00300078">
        <w:rPr>
          <w:rFonts w:ascii="Arial" w:hAnsi="Arial" w:cs="Arial"/>
          <w:b/>
          <w:lang w:val="en-GB"/>
        </w:rPr>
        <w:t>protection of academic and professional titles</w:t>
      </w:r>
      <w:r w:rsidRPr="00300078">
        <w:rPr>
          <w:rFonts w:ascii="Arial" w:hAnsi="Arial" w:cs="Arial"/>
          <w:lang w:val="en-GB"/>
        </w:rPr>
        <w:t xml:space="preserve"> (or its equivalent) in official languages and official translation (e.g. B.A., M.A., PhD, Doctor, Engineer, etc.); </w:t>
      </w:r>
    </w:p>
    <w:p w:rsidR="003055CE" w:rsidRPr="00300078" w:rsidRDefault="003055CE" w:rsidP="003055CE">
      <w:pPr>
        <w:pStyle w:val="ListParagraph"/>
        <w:numPr>
          <w:ilvl w:val="0"/>
          <w:numId w:val="2"/>
        </w:numPr>
        <w:spacing w:before="120" w:after="120"/>
        <w:jc w:val="both"/>
        <w:rPr>
          <w:rFonts w:ascii="Arial" w:hAnsi="Arial" w:cs="Arial"/>
          <w:lang w:val="en-GB"/>
        </w:rPr>
      </w:pPr>
      <w:r w:rsidRPr="00300078">
        <w:rPr>
          <w:rFonts w:ascii="Arial" w:hAnsi="Arial" w:cs="Arial"/>
          <w:b/>
          <w:lang w:val="en-GB"/>
        </w:rPr>
        <w:t>use of credentials from diploma mills illegal</w:t>
      </w:r>
      <w:r w:rsidRPr="00300078">
        <w:rPr>
          <w:rFonts w:ascii="Arial" w:hAnsi="Arial" w:cs="Arial"/>
          <w:lang w:val="en-GB"/>
        </w:rPr>
        <w:t xml:space="preserve"> according to national jurisdiction;</w:t>
      </w:r>
    </w:p>
    <w:p w:rsidR="003055CE" w:rsidRPr="00300078" w:rsidRDefault="003055CE" w:rsidP="003055CE">
      <w:pPr>
        <w:pStyle w:val="ListParagraph"/>
        <w:numPr>
          <w:ilvl w:val="0"/>
          <w:numId w:val="2"/>
        </w:numPr>
        <w:spacing w:before="120" w:after="120"/>
        <w:jc w:val="both"/>
        <w:rPr>
          <w:rFonts w:ascii="Arial" w:hAnsi="Arial" w:cs="Arial"/>
          <w:lang w:val="en-GB"/>
        </w:rPr>
      </w:pPr>
      <w:proofErr w:type="gramStart"/>
      <w:r w:rsidRPr="00300078">
        <w:rPr>
          <w:rFonts w:ascii="Arial" w:hAnsi="Arial" w:cs="Arial"/>
          <w:b/>
          <w:lang w:val="en-GB"/>
        </w:rPr>
        <w:lastRenderedPageBreak/>
        <w:t>the</w:t>
      </w:r>
      <w:proofErr w:type="gramEnd"/>
      <w:r w:rsidRPr="00300078">
        <w:rPr>
          <w:rFonts w:ascii="Arial" w:hAnsi="Arial" w:cs="Arial"/>
          <w:b/>
          <w:lang w:val="en-GB"/>
        </w:rPr>
        <w:t xml:space="preserve"> protection of consumers by antitrust authorities </w:t>
      </w:r>
      <w:r w:rsidRPr="00300078">
        <w:rPr>
          <w:rFonts w:ascii="Arial" w:hAnsi="Arial" w:cs="Arial"/>
          <w:lang w:val="en-GB"/>
        </w:rPr>
        <w:t>in cases of misleading advertising in the education sector.</w:t>
      </w:r>
    </w:p>
    <w:p w:rsidR="003055CE" w:rsidRPr="00300078" w:rsidRDefault="003055CE" w:rsidP="003055CE">
      <w:pPr>
        <w:pStyle w:val="ListParagraph"/>
        <w:spacing w:before="120" w:after="120"/>
        <w:jc w:val="both"/>
        <w:rPr>
          <w:rFonts w:ascii="Arial" w:hAnsi="Arial" w:cs="Arial"/>
          <w:lang w:val="en-GB"/>
        </w:rPr>
      </w:pPr>
    </w:p>
    <w:p w:rsidR="003055CE" w:rsidRPr="00300078" w:rsidRDefault="003055CE" w:rsidP="003055CE">
      <w:pPr>
        <w:spacing w:before="120" w:after="120"/>
        <w:jc w:val="both"/>
        <w:rPr>
          <w:rFonts w:ascii="Arial" w:hAnsi="Arial" w:cs="Arial"/>
          <w:b/>
          <w:sz w:val="22"/>
          <w:szCs w:val="22"/>
          <w:lang w:val="en-GB"/>
        </w:rPr>
      </w:pPr>
      <w:r w:rsidRPr="00300078">
        <w:rPr>
          <w:rFonts w:ascii="Arial" w:hAnsi="Arial" w:cs="Arial"/>
          <w:b/>
          <w:sz w:val="22"/>
          <w:szCs w:val="22"/>
          <w:lang w:val="en-GB"/>
        </w:rPr>
        <w:t xml:space="preserve">Policies and procedures </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 xml:space="preserve">Transparent and reliable policies and procedure at national and institutional level are crucial. Some examples are: </w:t>
      </w:r>
    </w:p>
    <w:p w:rsidR="003055CE" w:rsidRPr="00300078" w:rsidRDefault="003055CE" w:rsidP="003055CE">
      <w:pPr>
        <w:pStyle w:val="ListParagraph"/>
        <w:numPr>
          <w:ilvl w:val="0"/>
          <w:numId w:val="3"/>
        </w:numPr>
        <w:spacing w:before="120" w:after="120"/>
        <w:jc w:val="both"/>
        <w:rPr>
          <w:rFonts w:ascii="Arial" w:hAnsi="Arial" w:cs="Arial"/>
          <w:lang w:val="en-GB"/>
        </w:rPr>
      </w:pPr>
      <w:r w:rsidRPr="00300078">
        <w:rPr>
          <w:rFonts w:ascii="Arial" w:hAnsi="Arial" w:cs="Arial"/>
          <w:b/>
          <w:lang w:val="en-GB"/>
        </w:rPr>
        <w:t xml:space="preserve">information provision </w:t>
      </w:r>
      <w:r w:rsidRPr="00300078">
        <w:rPr>
          <w:rFonts w:ascii="Arial" w:hAnsi="Arial" w:cs="Arial"/>
          <w:lang w:val="en-GB"/>
        </w:rPr>
        <w:t>and information campaign targeted to students, staff and professionals on the topic of education fraud, also informing applicants about the risks of providing fraudulent information and commit types of education fraud;</w:t>
      </w:r>
    </w:p>
    <w:p w:rsidR="003055CE" w:rsidRPr="00300078" w:rsidRDefault="003055CE" w:rsidP="003055CE">
      <w:pPr>
        <w:pStyle w:val="ListParagraph"/>
        <w:numPr>
          <w:ilvl w:val="0"/>
          <w:numId w:val="3"/>
        </w:numPr>
        <w:spacing w:before="120" w:after="120"/>
        <w:jc w:val="both"/>
        <w:rPr>
          <w:rFonts w:ascii="Arial" w:hAnsi="Arial" w:cs="Arial"/>
          <w:lang w:val="en-GB"/>
        </w:rPr>
      </w:pPr>
      <w:proofErr w:type="gramStart"/>
      <w:r w:rsidRPr="00300078">
        <w:rPr>
          <w:rFonts w:ascii="Arial" w:hAnsi="Arial" w:cs="Arial"/>
          <w:b/>
          <w:lang w:val="en-GB"/>
        </w:rPr>
        <w:t>involvement</w:t>
      </w:r>
      <w:proofErr w:type="gramEnd"/>
      <w:r w:rsidRPr="00300078">
        <w:rPr>
          <w:rFonts w:ascii="Arial" w:hAnsi="Arial" w:cs="Arial"/>
          <w:b/>
          <w:lang w:val="en-GB"/>
        </w:rPr>
        <w:t xml:space="preserve"> of relevant stakeholders</w:t>
      </w:r>
      <w:r w:rsidRPr="00300078">
        <w:rPr>
          <w:rFonts w:ascii="Arial" w:hAnsi="Arial" w:cs="Arial"/>
          <w:lang w:val="en-GB"/>
        </w:rPr>
        <w:t xml:space="preserve"> (e.g. ENIC-NARIC centres, national competent authorities, antitrust agencies, etc.);</w:t>
      </w:r>
    </w:p>
    <w:p w:rsidR="003055CE" w:rsidRPr="00300078" w:rsidRDefault="003055CE" w:rsidP="003055CE">
      <w:pPr>
        <w:pStyle w:val="ListParagraph"/>
        <w:numPr>
          <w:ilvl w:val="0"/>
          <w:numId w:val="3"/>
        </w:numPr>
        <w:spacing w:before="120" w:after="120"/>
        <w:jc w:val="both"/>
        <w:rPr>
          <w:rFonts w:ascii="Arial" w:hAnsi="Arial" w:cs="Arial"/>
          <w:lang w:val="en-GB"/>
        </w:rPr>
      </w:pPr>
      <w:r w:rsidRPr="00300078">
        <w:rPr>
          <w:rFonts w:ascii="Arial" w:hAnsi="Arial" w:cs="Arial"/>
          <w:lang w:val="en-GB"/>
        </w:rPr>
        <w:t xml:space="preserve">promoting the adoption of a </w:t>
      </w:r>
      <w:r w:rsidRPr="00300078">
        <w:rPr>
          <w:rFonts w:ascii="Arial" w:hAnsi="Arial" w:cs="Arial"/>
          <w:b/>
          <w:lang w:val="en-GB"/>
        </w:rPr>
        <w:t>Code of Ethics</w:t>
      </w:r>
      <w:r w:rsidRPr="00300078">
        <w:rPr>
          <w:rFonts w:ascii="Arial" w:hAnsi="Arial" w:cs="Arial"/>
          <w:lang w:val="en-GB"/>
        </w:rPr>
        <w:t xml:space="preserve"> at institutional/organisational level;</w:t>
      </w:r>
    </w:p>
    <w:p w:rsidR="003055CE" w:rsidRPr="00300078" w:rsidRDefault="003055CE" w:rsidP="003055CE">
      <w:pPr>
        <w:pStyle w:val="ListParagraph"/>
        <w:numPr>
          <w:ilvl w:val="0"/>
          <w:numId w:val="3"/>
        </w:numPr>
        <w:spacing w:before="120" w:after="120"/>
        <w:jc w:val="both"/>
        <w:rPr>
          <w:rFonts w:ascii="Arial" w:hAnsi="Arial" w:cs="Arial"/>
          <w:lang w:val="en-GB"/>
        </w:rPr>
      </w:pPr>
      <w:proofErr w:type="gramStart"/>
      <w:r w:rsidRPr="00300078">
        <w:rPr>
          <w:rFonts w:ascii="Arial" w:hAnsi="Arial" w:cs="Arial"/>
          <w:lang w:val="en-GB"/>
        </w:rPr>
        <w:t>academic</w:t>
      </w:r>
      <w:proofErr w:type="gramEnd"/>
      <w:r w:rsidRPr="00300078">
        <w:rPr>
          <w:rFonts w:ascii="Arial" w:hAnsi="Arial" w:cs="Arial"/>
          <w:lang w:val="en-GB"/>
        </w:rPr>
        <w:t xml:space="preserve"> integrity, financial irregularities and education fraud can be part of the assessment criteria in </w:t>
      </w:r>
      <w:r w:rsidRPr="00300078">
        <w:rPr>
          <w:rFonts w:ascii="Arial" w:hAnsi="Arial" w:cs="Arial"/>
          <w:b/>
          <w:lang w:val="en-GB"/>
        </w:rPr>
        <w:t>quality assurance</w:t>
      </w:r>
      <w:r w:rsidRPr="00300078">
        <w:rPr>
          <w:rFonts w:ascii="Arial" w:hAnsi="Arial" w:cs="Arial"/>
          <w:lang w:val="en-GB"/>
        </w:rPr>
        <w:t>.</w:t>
      </w:r>
    </w:p>
    <w:p w:rsidR="003055CE" w:rsidRPr="00300078" w:rsidRDefault="003055CE" w:rsidP="003055CE">
      <w:pPr>
        <w:pStyle w:val="ListParagraph"/>
        <w:jc w:val="both"/>
        <w:rPr>
          <w:rFonts w:ascii="Arial" w:hAnsi="Arial" w:cs="Arial"/>
          <w:lang w:val="en-GB"/>
        </w:rPr>
      </w:pPr>
    </w:p>
    <w:p w:rsidR="003055CE" w:rsidRPr="00300078" w:rsidRDefault="003055CE" w:rsidP="003055CE">
      <w:pPr>
        <w:jc w:val="both"/>
        <w:rPr>
          <w:rFonts w:ascii="Arial" w:hAnsi="Arial" w:cs="Arial"/>
          <w:b/>
          <w:sz w:val="22"/>
          <w:szCs w:val="22"/>
          <w:lang w:val="en-GB"/>
        </w:rPr>
      </w:pPr>
      <w:r w:rsidRPr="00300078">
        <w:rPr>
          <w:rFonts w:ascii="Arial" w:hAnsi="Arial" w:cs="Arial"/>
          <w:b/>
          <w:sz w:val="22"/>
          <w:szCs w:val="22"/>
          <w:lang w:val="en-GB"/>
        </w:rPr>
        <w:t xml:space="preserve">Action </w:t>
      </w:r>
    </w:p>
    <w:p w:rsidR="003055CE" w:rsidRPr="00300078" w:rsidRDefault="003055CE" w:rsidP="003055CE">
      <w:pPr>
        <w:spacing w:before="120" w:after="120"/>
        <w:jc w:val="both"/>
        <w:rPr>
          <w:rFonts w:ascii="Arial" w:hAnsi="Arial" w:cs="Arial"/>
          <w:sz w:val="22"/>
          <w:szCs w:val="22"/>
          <w:lang w:val="en-GB"/>
        </w:rPr>
      </w:pPr>
      <w:r w:rsidRPr="00300078">
        <w:rPr>
          <w:rFonts w:ascii="Arial" w:hAnsi="Arial" w:cs="Arial"/>
          <w:sz w:val="22"/>
          <w:szCs w:val="22"/>
          <w:lang w:val="en-GB"/>
        </w:rPr>
        <w:t>Countries could adopt a national action plan and/or push for practices targeted to prevent, monitor and to fight the phenomenon of education fraud. Here some examples:</w:t>
      </w:r>
    </w:p>
    <w:p w:rsidR="003055CE" w:rsidRPr="00300078"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b/>
          <w:lang w:val="en-GB"/>
        </w:rPr>
        <w:t>Use of digital data</w:t>
      </w:r>
      <w:r w:rsidRPr="00300078">
        <w:rPr>
          <w:rFonts w:ascii="Arial" w:hAnsi="Arial" w:cs="Arial"/>
          <w:lang w:val="en-GB"/>
        </w:rPr>
        <w:t xml:space="preserve"> at national or institutional level for the exchange and verification of credentials (e.g. national online database of qualifications that can be verified, list of institutions that allow verification of their qualifications, etc.).</w:t>
      </w:r>
    </w:p>
    <w:p w:rsidR="003055CE" w:rsidRPr="00300078"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b/>
          <w:lang w:val="en-GB"/>
        </w:rPr>
        <w:t>National databases</w:t>
      </w:r>
      <w:r w:rsidRPr="00300078">
        <w:rPr>
          <w:rFonts w:ascii="Arial" w:hAnsi="Arial" w:cs="Arial"/>
          <w:lang w:val="en-GB"/>
        </w:rPr>
        <w:t xml:space="preserve"> where it is possible </w:t>
      </w:r>
      <w:r w:rsidRPr="00300078">
        <w:rPr>
          <w:rFonts w:ascii="Arial" w:hAnsi="Arial" w:cs="Arial"/>
          <w:b/>
          <w:lang w:val="en-GB"/>
        </w:rPr>
        <w:t>to verify the authenticity of qualifications</w:t>
      </w:r>
      <w:r w:rsidRPr="00300078">
        <w:rPr>
          <w:rFonts w:ascii="Arial" w:hAnsi="Arial" w:cs="Arial"/>
          <w:lang w:val="en-GB"/>
        </w:rPr>
        <w:t xml:space="preserve"> awarded by accredited educational providers in your country (e.g. a national registry where it is possible to verify the authenticity of upper secondary school qualifications).</w:t>
      </w:r>
    </w:p>
    <w:p w:rsidR="003055CE" w:rsidRPr="00300078"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b/>
          <w:lang w:val="en-GB"/>
        </w:rPr>
        <w:t xml:space="preserve">Training </w:t>
      </w:r>
      <w:r w:rsidRPr="00300078">
        <w:rPr>
          <w:rFonts w:ascii="Arial" w:hAnsi="Arial" w:cs="Arial"/>
          <w:lang w:val="en-GB"/>
        </w:rPr>
        <w:t>on the topic of education fraud for staff (e.g. how to detect a fraudulent qualification, who contact for advice/information, etc.).</w:t>
      </w:r>
    </w:p>
    <w:p w:rsidR="003055CE" w:rsidRPr="00300078"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lang w:val="en-GB"/>
        </w:rPr>
        <w:t xml:space="preserve">Promote the use of </w:t>
      </w:r>
      <w:r w:rsidRPr="00300078">
        <w:rPr>
          <w:rFonts w:ascii="Arial" w:hAnsi="Arial" w:cs="Arial"/>
          <w:b/>
          <w:lang w:val="en-GB"/>
        </w:rPr>
        <w:t>IT solution to fight education fraud</w:t>
      </w:r>
      <w:r w:rsidRPr="00300078">
        <w:rPr>
          <w:rFonts w:ascii="Arial" w:hAnsi="Arial" w:cs="Arial"/>
          <w:lang w:val="en-GB"/>
        </w:rPr>
        <w:t xml:space="preserve"> (e.g. software to detect contract cheating and plagiarism, e-transcripts, secure </w:t>
      </w:r>
      <w:proofErr w:type="spellStart"/>
      <w:r w:rsidRPr="00300078">
        <w:rPr>
          <w:rFonts w:ascii="Arial" w:hAnsi="Arial" w:cs="Arial"/>
          <w:lang w:val="en-GB"/>
        </w:rPr>
        <w:t>pdf</w:t>
      </w:r>
      <w:proofErr w:type="spellEnd"/>
      <w:r w:rsidRPr="00300078">
        <w:rPr>
          <w:rFonts w:ascii="Arial" w:hAnsi="Arial" w:cs="Arial"/>
          <w:lang w:val="en-GB"/>
        </w:rPr>
        <w:t xml:space="preserve"> and digital signature to exchange academic transcript, QR code to see the transcript and marks of the students, bar code instead of names in taking written exams, specific software for online interviews, etc.)</w:t>
      </w:r>
    </w:p>
    <w:p w:rsidR="003055CE" w:rsidRPr="00300078"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lang w:val="en-GB"/>
        </w:rPr>
        <w:t xml:space="preserve">Establishing at </w:t>
      </w:r>
      <w:r w:rsidRPr="00300078">
        <w:rPr>
          <w:rFonts w:ascii="Arial" w:hAnsi="Arial" w:cs="Arial"/>
          <w:b/>
          <w:lang w:val="en-GB"/>
        </w:rPr>
        <w:t>international level an</w:t>
      </w:r>
      <w:r w:rsidRPr="00300078">
        <w:rPr>
          <w:rFonts w:ascii="Arial" w:hAnsi="Arial" w:cs="Arial"/>
          <w:lang w:val="en-GB"/>
        </w:rPr>
        <w:t xml:space="preserve"> </w:t>
      </w:r>
      <w:r w:rsidRPr="00300078">
        <w:rPr>
          <w:rFonts w:ascii="Arial" w:hAnsi="Arial" w:cs="Arial"/>
          <w:b/>
          <w:lang w:val="en-GB"/>
        </w:rPr>
        <w:t>agreed and common legal framework</w:t>
      </w:r>
      <w:r w:rsidRPr="00300078">
        <w:rPr>
          <w:rFonts w:ascii="Arial" w:hAnsi="Arial" w:cs="Arial"/>
          <w:lang w:val="en-GB"/>
        </w:rPr>
        <w:t xml:space="preserve"> useful to prevent, to monitor and to prosecute fraud in education.</w:t>
      </w:r>
    </w:p>
    <w:p w:rsidR="003055CE" w:rsidRPr="00300078" w:rsidRDefault="003055CE" w:rsidP="003055CE">
      <w:pPr>
        <w:jc w:val="both"/>
        <w:rPr>
          <w:rFonts w:ascii="Arial" w:hAnsi="Arial" w:cs="Arial"/>
          <w:b/>
          <w:sz w:val="22"/>
          <w:szCs w:val="22"/>
          <w:lang w:val="en-GB"/>
        </w:rPr>
      </w:pPr>
    </w:p>
    <w:p w:rsidR="003055CE" w:rsidRPr="00300078" w:rsidRDefault="003055CE" w:rsidP="003055CE">
      <w:pPr>
        <w:jc w:val="both"/>
        <w:rPr>
          <w:rFonts w:ascii="Arial" w:hAnsi="Arial" w:cs="Arial"/>
          <w:b/>
          <w:sz w:val="22"/>
          <w:szCs w:val="22"/>
          <w:lang w:val="en-GB"/>
        </w:rPr>
      </w:pPr>
      <w:r w:rsidRPr="00300078">
        <w:rPr>
          <w:rFonts w:ascii="Arial" w:hAnsi="Arial" w:cs="Arial"/>
          <w:b/>
          <w:sz w:val="22"/>
          <w:szCs w:val="22"/>
          <w:lang w:val="en-GB"/>
        </w:rPr>
        <w:t>Questions for discussion</w:t>
      </w:r>
    </w:p>
    <w:p w:rsidR="003055CE"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lang w:val="en-GB"/>
        </w:rPr>
        <w:t xml:space="preserve">How would it be possible to reinforce/improve/change the </w:t>
      </w:r>
      <w:r w:rsidRPr="00300078">
        <w:rPr>
          <w:rFonts w:ascii="Arial" w:hAnsi="Arial" w:cs="Arial"/>
          <w:i/>
          <w:lang w:val="en-GB"/>
        </w:rPr>
        <w:t>procedures</w:t>
      </w:r>
      <w:r w:rsidRPr="00300078">
        <w:rPr>
          <w:rFonts w:ascii="Arial" w:hAnsi="Arial" w:cs="Arial"/>
          <w:lang w:val="en-GB"/>
        </w:rPr>
        <w:t xml:space="preserve"> and the </w:t>
      </w:r>
      <w:r w:rsidRPr="00300078">
        <w:rPr>
          <w:rFonts w:ascii="Arial" w:hAnsi="Arial" w:cs="Arial"/>
          <w:i/>
          <w:lang w:val="en-GB"/>
        </w:rPr>
        <w:t>legislation</w:t>
      </w:r>
      <w:r w:rsidR="00CF3F48">
        <w:rPr>
          <w:rFonts w:ascii="Arial" w:hAnsi="Arial" w:cs="Arial"/>
          <w:lang w:val="en-GB"/>
        </w:rPr>
        <w:t xml:space="preserve"> for tackling fraudulent/forged </w:t>
      </w:r>
      <w:r w:rsidRPr="00300078">
        <w:rPr>
          <w:rFonts w:ascii="Arial" w:hAnsi="Arial" w:cs="Arial"/>
          <w:lang w:val="en-GB"/>
        </w:rPr>
        <w:t>qualifications and Diploma Mills?</w:t>
      </w:r>
    </w:p>
    <w:p w:rsidR="00CF3F48" w:rsidRPr="00300078" w:rsidRDefault="00CF3F48" w:rsidP="00CF3F48">
      <w:pPr>
        <w:pStyle w:val="ListParagraph"/>
        <w:spacing w:before="120" w:after="120"/>
        <w:jc w:val="both"/>
        <w:rPr>
          <w:rFonts w:ascii="Arial" w:hAnsi="Arial" w:cs="Arial"/>
          <w:lang w:val="en-GB"/>
        </w:rPr>
      </w:pPr>
    </w:p>
    <w:p w:rsidR="00CF3F48" w:rsidRDefault="00CF3F48" w:rsidP="003055CE">
      <w:pPr>
        <w:pStyle w:val="ListParagraph"/>
        <w:numPr>
          <w:ilvl w:val="0"/>
          <w:numId w:val="4"/>
        </w:numPr>
        <w:spacing w:before="120" w:after="120"/>
        <w:jc w:val="both"/>
        <w:rPr>
          <w:rFonts w:ascii="Arial" w:hAnsi="Arial" w:cs="Arial"/>
          <w:lang w:val="en-GB"/>
        </w:rPr>
      </w:pPr>
      <w:r>
        <w:rPr>
          <w:rFonts w:ascii="Arial" w:hAnsi="Arial" w:cs="Arial"/>
          <w:lang w:val="en-GB"/>
        </w:rPr>
        <w:t xml:space="preserve">What actions need to be taken at national </w:t>
      </w:r>
      <w:proofErr w:type="gramStart"/>
      <w:r>
        <w:rPr>
          <w:rFonts w:ascii="Arial" w:hAnsi="Arial" w:cs="Arial"/>
          <w:lang w:val="en-GB"/>
        </w:rPr>
        <w:t>level,</w:t>
      </w:r>
      <w:proofErr w:type="gramEnd"/>
      <w:r>
        <w:rPr>
          <w:rFonts w:ascii="Arial" w:hAnsi="Arial" w:cs="Arial"/>
          <w:lang w:val="en-GB"/>
        </w:rPr>
        <w:t xml:space="preserve"> and what should be done at European level? </w:t>
      </w:r>
    </w:p>
    <w:p w:rsidR="00CF3F48" w:rsidRPr="00CF3F48" w:rsidRDefault="00CF3F48" w:rsidP="00CF3F48">
      <w:pPr>
        <w:pStyle w:val="ListParagraph"/>
        <w:rPr>
          <w:rFonts w:ascii="Arial" w:hAnsi="Arial" w:cs="Arial"/>
          <w:lang w:val="en-GB"/>
        </w:rPr>
      </w:pPr>
    </w:p>
    <w:p w:rsidR="003055CE" w:rsidRPr="00300078"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lang w:val="en-GB"/>
        </w:rPr>
        <w:t>What kind of improvement/reinforcement/changes is it possible to adopt?</w:t>
      </w:r>
    </w:p>
    <w:p w:rsidR="00CF3F48" w:rsidRDefault="00CF3F48" w:rsidP="00CF3F48">
      <w:pPr>
        <w:pStyle w:val="ListParagraph"/>
        <w:spacing w:before="120" w:after="120"/>
        <w:jc w:val="both"/>
        <w:rPr>
          <w:rFonts w:ascii="Arial" w:hAnsi="Arial" w:cs="Arial"/>
          <w:lang w:val="en-GB"/>
        </w:rPr>
      </w:pPr>
    </w:p>
    <w:p w:rsidR="003055CE" w:rsidRPr="00300078" w:rsidRDefault="00CF3F48" w:rsidP="003055CE">
      <w:pPr>
        <w:pStyle w:val="ListParagraph"/>
        <w:numPr>
          <w:ilvl w:val="0"/>
          <w:numId w:val="4"/>
        </w:numPr>
        <w:spacing w:before="120" w:after="120"/>
        <w:jc w:val="both"/>
        <w:rPr>
          <w:rFonts w:ascii="Arial" w:hAnsi="Arial" w:cs="Arial"/>
          <w:lang w:val="en-GB"/>
        </w:rPr>
      </w:pPr>
      <w:r>
        <w:rPr>
          <w:rFonts w:ascii="Arial" w:hAnsi="Arial" w:cs="Arial"/>
          <w:lang w:val="en-GB"/>
        </w:rPr>
        <w:t>To realis</w:t>
      </w:r>
      <w:r w:rsidR="003055CE" w:rsidRPr="00300078">
        <w:rPr>
          <w:rFonts w:ascii="Arial" w:hAnsi="Arial" w:cs="Arial"/>
          <w:lang w:val="en-GB"/>
        </w:rPr>
        <w:t xml:space="preserve">e this improvement, who should be involved (i.e. decision makers, ministries, international organisations, etc.)? </w:t>
      </w:r>
    </w:p>
    <w:p w:rsidR="00CF3F48" w:rsidRDefault="00CF3F48" w:rsidP="00CF3F48">
      <w:pPr>
        <w:pStyle w:val="ListParagraph"/>
        <w:spacing w:before="120" w:after="120"/>
        <w:jc w:val="both"/>
        <w:rPr>
          <w:rFonts w:ascii="Arial" w:hAnsi="Arial" w:cs="Arial"/>
          <w:lang w:val="en-GB"/>
        </w:rPr>
      </w:pPr>
    </w:p>
    <w:p w:rsidR="003055CE" w:rsidRPr="00300078"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lang w:val="en-GB"/>
        </w:rPr>
        <w:t>How to measure the improvement/changes? What could be the indicators? What is the possible timeframe (short, medium or long term)?</w:t>
      </w:r>
    </w:p>
    <w:p w:rsidR="00CF3F48" w:rsidRDefault="00CF3F48" w:rsidP="00CF3F48">
      <w:pPr>
        <w:pStyle w:val="ListParagraph"/>
        <w:spacing w:before="120" w:after="120"/>
        <w:jc w:val="both"/>
        <w:rPr>
          <w:rFonts w:ascii="Arial" w:hAnsi="Arial" w:cs="Arial"/>
          <w:lang w:val="en-GB"/>
        </w:rPr>
      </w:pPr>
    </w:p>
    <w:p w:rsidR="003055CE"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lang w:val="en-GB"/>
        </w:rPr>
        <w:lastRenderedPageBreak/>
        <w:t xml:space="preserve">In your national situation, in which field more precisely would you see the need for an improvement? </w:t>
      </w:r>
    </w:p>
    <w:p w:rsidR="00E965FF" w:rsidRPr="00E965FF" w:rsidRDefault="00E965FF" w:rsidP="00E965FF">
      <w:pPr>
        <w:pStyle w:val="ListParagraph"/>
        <w:rPr>
          <w:rFonts w:ascii="Arial" w:hAnsi="Arial" w:cs="Arial"/>
          <w:lang w:val="en-GB"/>
        </w:rPr>
      </w:pPr>
    </w:p>
    <w:p w:rsidR="003055CE" w:rsidRPr="00300078" w:rsidRDefault="003055CE" w:rsidP="003055CE">
      <w:pPr>
        <w:pStyle w:val="ListParagraph"/>
        <w:numPr>
          <w:ilvl w:val="0"/>
          <w:numId w:val="4"/>
        </w:numPr>
        <w:spacing w:before="120" w:after="120"/>
        <w:jc w:val="both"/>
        <w:rPr>
          <w:rFonts w:ascii="Arial" w:hAnsi="Arial" w:cs="Arial"/>
          <w:lang w:val="en-GB"/>
        </w:rPr>
      </w:pPr>
      <w:r w:rsidRPr="00300078">
        <w:rPr>
          <w:rFonts w:ascii="Arial" w:hAnsi="Arial" w:cs="Arial"/>
          <w:lang w:val="en-GB"/>
        </w:rPr>
        <w:t xml:space="preserve">What good practice(s) from your country would you like to share with other participants?  </w:t>
      </w:r>
    </w:p>
    <w:p w:rsidR="00176555" w:rsidRPr="003055CE" w:rsidRDefault="00176555">
      <w:pPr>
        <w:rPr>
          <w:lang w:val="en-GB"/>
        </w:rPr>
      </w:pPr>
    </w:p>
    <w:sectPr w:rsidR="00176555" w:rsidRPr="003055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52" w:rsidRDefault="00580452" w:rsidP="00580452">
      <w:r>
        <w:separator/>
      </w:r>
    </w:p>
  </w:endnote>
  <w:endnote w:type="continuationSeparator" w:id="0">
    <w:p w:rsidR="00580452" w:rsidRDefault="00580452" w:rsidP="0058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52" w:rsidRDefault="00580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52" w:rsidRDefault="00580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52" w:rsidRDefault="0058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52" w:rsidRDefault="00580452" w:rsidP="00580452">
      <w:r>
        <w:separator/>
      </w:r>
    </w:p>
  </w:footnote>
  <w:footnote w:type="continuationSeparator" w:id="0">
    <w:p w:rsidR="00580452" w:rsidRDefault="00580452" w:rsidP="00580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52" w:rsidRDefault="00580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52" w:rsidRDefault="00580452">
    <w:pPr>
      <w:pStyle w:val="Header"/>
    </w:pPr>
    <w:r>
      <w:t xml:space="preserve">ETINED SYMPOSIUM – Doc </w:t>
    </w:r>
    <w:r>
      <w:t>3</w:t>
    </w:r>
    <w:bookmarkStart w:id="0" w:name="_GoBack"/>
    <w:bookmarkEnd w:id="0"/>
  </w:p>
  <w:p w:rsidR="00580452" w:rsidRDefault="00580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52" w:rsidRDefault="0058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599"/>
    <w:multiLevelType w:val="hybridMultilevel"/>
    <w:tmpl w:val="63342EE4"/>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
    <w:nsid w:val="37266969"/>
    <w:multiLevelType w:val="hybridMultilevel"/>
    <w:tmpl w:val="6A14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555B98"/>
    <w:multiLevelType w:val="hybridMultilevel"/>
    <w:tmpl w:val="3C40B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4F415F"/>
    <w:multiLevelType w:val="hybridMultilevel"/>
    <w:tmpl w:val="27986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CE"/>
    <w:rsid w:val="00176555"/>
    <w:rsid w:val="003055CE"/>
    <w:rsid w:val="003157C0"/>
    <w:rsid w:val="00580452"/>
    <w:rsid w:val="00CF3F48"/>
    <w:rsid w:val="00CF65AC"/>
    <w:rsid w:val="00E965FF"/>
    <w:rsid w:val="00F0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CE"/>
    <w:pPr>
      <w:spacing w:after="0" w:line="240" w:lineRule="auto"/>
    </w:pPr>
    <w:rPr>
      <w:rFonts w:eastAsiaTheme="minorEastAsia"/>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CE"/>
    <w:pPr>
      <w:ind w:left="720"/>
      <w:contextualSpacing/>
    </w:pPr>
    <w:rPr>
      <w:rFonts w:ascii="Calibri" w:eastAsia="Calibri" w:hAnsi="Calibri" w:cs="Times New Roman"/>
      <w:sz w:val="22"/>
      <w:szCs w:val="22"/>
      <w:lang w:val="en-US" w:eastAsia="en-US"/>
    </w:rPr>
  </w:style>
  <w:style w:type="table" w:styleId="LightShading">
    <w:name w:val="Light Shading"/>
    <w:basedOn w:val="TableNormal"/>
    <w:uiPriority w:val="60"/>
    <w:rsid w:val="003055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80452"/>
    <w:pPr>
      <w:tabs>
        <w:tab w:val="center" w:pos="4680"/>
        <w:tab w:val="right" w:pos="9360"/>
      </w:tabs>
    </w:pPr>
  </w:style>
  <w:style w:type="character" w:customStyle="1" w:styleId="HeaderChar">
    <w:name w:val="Header Char"/>
    <w:basedOn w:val="DefaultParagraphFont"/>
    <w:link w:val="Header"/>
    <w:uiPriority w:val="99"/>
    <w:rsid w:val="00580452"/>
    <w:rPr>
      <w:rFonts w:eastAsiaTheme="minorEastAsia"/>
      <w:sz w:val="24"/>
      <w:szCs w:val="24"/>
      <w:lang w:val="it-IT" w:eastAsia="it-IT"/>
    </w:rPr>
  </w:style>
  <w:style w:type="paragraph" w:styleId="Footer">
    <w:name w:val="footer"/>
    <w:basedOn w:val="Normal"/>
    <w:link w:val="FooterChar"/>
    <w:uiPriority w:val="99"/>
    <w:unhideWhenUsed/>
    <w:rsid w:val="00580452"/>
    <w:pPr>
      <w:tabs>
        <w:tab w:val="center" w:pos="4680"/>
        <w:tab w:val="right" w:pos="9360"/>
      </w:tabs>
    </w:pPr>
  </w:style>
  <w:style w:type="character" w:customStyle="1" w:styleId="FooterChar">
    <w:name w:val="Footer Char"/>
    <w:basedOn w:val="DefaultParagraphFont"/>
    <w:link w:val="Footer"/>
    <w:uiPriority w:val="99"/>
    <w:rsid w:val="00580452"/>
    <w:rPr>
      <w:rFonts w:eastAsiaTheme="minorEastAsia"/>
      <w:sz w:val="24"/>
      <w:szCs w:val="24"/>
      <w:lang w:val="it-IT" w:eastAsia="it-IT"/>
    </w:rPr>
  </w:style>
  <w:style w:type="paragraph" w:styleId="BalloonText">
    <w:name w:val="Balloon Text"/>
    <w:basedOn w:val="Normal"/>
    <w:link w:val="BalloonTextChar"/>
    <w:uiPriority w:val="99"/>
    <w:semiHidden/>
    <w:unhideWhenUsed/>
    <w:rsid w:val="00580452"/>
    <w:rPr>
      <w:rFonts w:ascii="Tahoma" w:hAnsi="Tahoma" w:cs="Tahoma"/>
      <w:sz w:val="16"/>
      <w:szCs w:val="16"/>
    </w:rPr>
  </w:style>
  <w:style w:type="character" w:customStyle="1" w:styleId="BalloonTextChar">
    <w:name w:val="Balloon Text Char"/>
    <w:basedOn w:val="DefaultParagraphFont"/>
    <w:link w:val="BalloonText"/>
    <w:uiPriority w:val="99"/>
    <w:semiHidden/>
    <w:rsid w:val="00580452"/>
    <w:rPr>
      <w:rFonts w:ascii="Tahoma" w:eastAsiaTheme="minorEastAsi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CE"/>
    <w:pPr>
      <w:spacing w:after="0" w:line="240" w:lineRule="auto"/>
    </w:pPr>
    <w:rPr>
      <w:rFonts w:eastAsiaTheme="minorEastAsia"/>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CE"/>
    <w:pPr>
      <w:ind w:left="720"/>
      <w:contextualSpacing/>
    </w:pPr>
    <w:rPr>
      <w:rFonts w:ascii="Calibri" w:eastAsia="Calibri" w:hAnsi="Calibri" w:cs="Times New Roman"/>
      <w:sz w:val="22"/>
      <w:szCs w:val="22"/>
      <w:lang w:val="en-US" w:eastAsia="en-US"/>
    </w:rPr>
  </w:style>
  <w:style w:type="table" w:styleId="LightShading">
    <w:name w:val="Light Shading"/>
    <w:basedOn w:val="TableNormal"/>
    <w:uiPriority w:val="60"/>
    <w:rsid w:val="003055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80452"/>
    <w:pPr>
      <w:tabs>
        <w:tab w:val="center" w:pos="4680"/>
        <w:tab w:val="right" w:pos="9360"/>
      </w:tabs>
    </w:pPr>
  </w:style>
  <w:style w:type="character" w:customStyle="1" w:styleId="HeaderChar">
    <w:name w:val="Header Char"/>
    <w:basedOn w:val="DefaultParagraphFont"/>
    <w:link w:val="Header"/>
    <w:uiPriority w:val="99"/>
    <w:rsid w:val="00580452"/>
    <w:rPr>
      <w:rFonts w:eastAsiaTheme="minorEastAsia"/>
      <w:sz w:val="24"/>
      <w:szCs w:val="24"/>
      <w:lang w:val="it-IT" w:eastAsia="it-IT"/>
    </w:rPr>
  </w:style>
  <w:style w:type="paragraph" w:styleId="Footer">
    <w:name w:val="footer"/>
    <w:basedOn w:val="Normal"/>
    <w:link w:val="FooterChar"/>
    <w:uiPriority w:val="99"/>
    <w:unhideWhenUsed/>
    <w:rsid w:val="00580452"/>
    <w:pPr>
      <w:tabs>
        <w:tab w:val="center" w:pos="4680"/>
        <w:tab w:val="right" w:pos="9360"/>
      </w:tabs>
    </w:pPr>
  </w:style>
  <w:style w:type="character" w:customStyle="1" w:styleId="FooterChar">
    <w:name w:val="Footer Char"/>
    <w:basedOn w:val="DefaultParagraphFont"/>
    <w:link w:val="Footer"/>
    <w:uiPriority w:val="99"/>
    <w:rsid w:val="00580452"/>
    <w:rPr>
      <w:rFonts w:eastAsiaTheme="minorEastAsia"/>
      <w:sz w:val="24"/>
      <w:szCs w:val="24"/>
      <w:lang w:val="it-IT" w:eastAsia="it-IT"/>
    </w:rPr>
  </w:style>
  <w:style w:type="paragraph" w:styleId="BalloonText">
    <w:name w:val="Balloon Text"/>
    <w:basedOn w:val="Normal"/>
    <w:link w:val="BalloonTextChar"/>
    <w:uiPriority w:val="99"/>
    <w:semiHidden/>
    <w:unhideWhenUsed/>
    <w:rsid w:val="00580452"/>
    <w:rPr>
      <w:rFonts w:ascii="Tahoma" w:hAnsi="Tahoma" w:cs="Tahoma"/>
      <w:sz w:val="16"/>
      <w:szCs w:val="16"/>
    </w:rPr>
  </w:style>
  <w:style w:type="character" w:customStyle="1" w:styleId="BalloonTextChar">
    <w:name w:val="Balloon Text Char"/>
    <w:basedOn w:val="DefaultParagraphFont"/>
    <w:link w:val="BalloonText"/>
    <w:uiPriority w:val="99"/>
    <w:semiHidden/>
    <w:rsid w:val="00580452"/>
    <w:rPr>
      <w:rFonts w:ascii="Tahoma" w:eastAsiaTheme="minorEastAsi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8DCE-B6A8-462A-968C-C81B1C3C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KRUGER Stefania</dc:creator>
  <cp:lastModifiedBy>DE MEIS Angelica</cp:lastModifiedBy>
  <cp:revision>2</cp:revision>
  <dcterms:created xsi:type="dcterms:W3CDTF">2018-11-16T09:08:00Z</dcterms:created>
  <dcterms:modified xsi:type="dcterms:W3CDTF">2018-11-16T09:08:00Z</dcterms:modified>
</cp:coreProperties>
</file>